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9214" w:val="left"/>
        </w:tabs>
        <w:ind/>
        <w:jc w:val="right"/>
        <w:rPr>
          <w:sz w:val="22"/>
        </w:rPr>
      </w:pPr>
      <w:r>
        <w:rPr>
          <w:sz w:val="22"/>
        </w:rPr>
        <w:t>ПРОЕКТ</w:t>
      </w:r>
    </w:p>
    <w:p w14:paraId="02000000">
      <w:pPr>
        <w:widowControl w:val="1"/>
        <w:tabs>
          <w:tab w:leader="none" w:pos="9214" w:val="left"/>
        </w:tabs>
        <w:ind/>
        <w:jc w:val="right"/>
        <w:rPr>
          <w:sz w:val="22"/>
        </w:rPr>
      </w:pPr>
      <w:r>
        <w:rPr>
          <w:sz w:val="22"/>
        </w:rPr>
        <w:t>Вносится</w:t>
      </w:r>
    </w:p>
    <w:p w14:paraId="03000000">
      <w:pPr>
        <w:widowControl w:val="1"/>
        <w:tabs>
          <w:tab w:leader="none" w:pos="9214" w:val="left"/>
        </w:tabs>
        <w:ind/>
        <w:jc w:val="right"/>
        <w:rPr>
          <w:sz w:val="22"/>
        </w:rPr>
      </w:pPr>
      <w:r>
        <w:rPr>
          <w:sz w:val="22"/>
        </w:rPr>
        <w:t>Прокурором г. Северодвинска</w:t>
      </w:r>
    </w:p>
    <w:p w14:paraId="04000000">
      <w:pPr>
        <w:widowControl w:val="1"/>
        <w:tabs>
          <w:tab w:leader="none" w:pos="9214" w:val="left"/>
        </w:tabs>
        <w:ind/>
        <w:jc w:val="right"/>
        <w:rPr>
          <w:sz w:val="22"/>
        </w:rPr>
      </w:pPr>
    </w:p>
    <w:p w14:paraId="05000000">
      <w:pPr>
        <w:widowControl w:val="1"/>
        <w:tabs>
          <w:tab w:leader="none" w:pos="9214" w:val="left"/>
        </w:tabs>
        <w:ind/>
        <w:jc w:val="center"/>
      </w:pPr>
      <w:r>
        <w:rPr>
          <w:rFonts w:ascii="Calibri" w:hAnsi="Calibri"/>
          <w:sz w:val="22"/>
        </w:rPr>
        <w:drawing>
          <wp:inline>
            <wp:extent cx="599948" cy="65722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99948" cy="6572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                            </w:t>
      </w:r>
    </w:p>
    <w:p w14:paraId="06000000">
      <w:pPr>
        <w:widowControl w:val="1"/>
        <w:tabs>
          <w:tab w:leader="none" w:pos="5320" w:val="left"/>
        </w:tabs>
        <w:ind/>
        <w:jc w:val="center"/>
        <w:rPr>
          <w:sz w:val="28"/>
        </w:rPr>
      </w:pPr>
      <w:r>
        <w:rPr>
          <w:sz w:val="28"/>
        </w:rPr>
        <w:t>Муниципальный округ Архангельской области «Город Северодвинск»</w:t>
      </w:r>
    </w:p>
    <w:p w14:paraId="07000000">
      <w:pPr>
        <w:keepNext w:val="1"/>
        <w:widowControl w:val="1"/>
        <w:ind/>
        <w:jc w:val="center"/>
        <w:outlineLvl w:val="1"/>
        <w:rPr>
          <w:b w:val="1"/>
          <w:sz w:val="26"/>
        </w:rPr>
      </w:pPr>
    </w:p>
    <w:p w14:paraId="08000000">
      <w:pPr>
        <w:keepNext w:val="1"/>
        <w:widowControl w:val="1"/>
        <w:ind/>
        <w:jc w:val="center"/>
        <w:outlineLvl w:val="1"/>
        <w:rPr>
          <w:sz w:val="28"/>
        </w:rPr>
      </w:pPr>
      <w:r>
        <w:rPr>
          <w:b w:val="1"/>
          <w:sz w:val="28"/>
        </w:rPr>
        <w:t xml:space="preserve">СОВЕТ ДЕПУТАТОВ СЕВЕРОДВИНСКА </w:t>
      </w:r>
    </w:p>
    <w:p w14:paraId="09000000">
      <w:pPr>
        <w:rPr>
          <w:sz w:val="26"/>
        </w:rPr>
      </w:pPr>
    </w:p>
    <w:p w14:paraId="0A000000">
      <w:pPr>
        <w:keepNext w:val="1"/>
        <w:widowControl w:val="1"/>
        <w:ind/>
        <w:jc w:val="center"/>
        <w:outlineLvl w:val="1"/>
        <w:rPr>
          <w:b w:val="1"/>
          <w:spacing w:val="20"/>
          <w:sz w:val="36"/>
        </w:rPr>
      </w:pPr>
      <w:r>
        <w:rPr>
          <w:b w:val="1"/>
          <w:spacing w:val="20"/>
          <w:sz w:val="36"/>
        </w:rPr>
        <w:t>РЕШЕНИЕ</w:t>
      </w:r>
    </w:p>
    <w:p w14:paraId="0B000000">
      <w:pPr>
        <w:keepNext w:val="1"/>
        <w:widowControl w:val="1"/>
        <w:ind/>
        <w:jc w:val="center"/>
        <w:outlineLvl w:val="1"/>
        <w:rPr>
          <w:b w:val="1"/>
          <w:spacing w:val="20"/>
          <w:sz w:val="26"/>
        </w:rPr>
      </w:pPr>
    </w:p>
    <w:p w14:paraId="0C000000">
      <w:pPr>
        <w:keepNext w:val="1"/>
        <w:widowControl w:val="1"/>
        <w:ind/>
        <w:jc w:val="center"/>
        <w:outlineLvl w:val="1"/>
        <w:rPr>
          <w:sz w:val="26"/>
        </w:rPr>
      </w:pPr>
      <w:r>
        <w:rPr>
          <w:sz w:val="26"/>
        </w:rPr>
        <w:t xml:space="preserve">от </w:t>
      </w:r>
      <w:r>
        <w:rPr>
          <w:sz w:val="26"/>
        </w:rPr>
        <w:t xml:space="preserve">            </w:t>
      </w:r>
      <w:r>
        <w:rPr>
          <w:sz w:val="26"/>
        </w:rPr>
        <w:t xml:space="preserve">   №</w:t>
      </w:r>
      <w:r>
        <w:rPr>
          <w:sz w:val="26"/>
        </w:rPr>
        <w:t xml:space="preserve"> </w:t>
      </w:r>
      <w:r>
        <w:rPr>
          <w:sz w:val="26"/>
        </w:rPr>
        <w:t xml:space="preserve">   </w:t>
      </w:r>
    </w:p>
    <w:p w14:paraId="0D000000">
      <w:pPr>
        <w:rPr>
          <w:b w:val="1"/>
          <w:color w:val="000000"/>
          <w:sz w:val="26"/>
        </w:rPr>
      </w:pPr>
    </w:p>
    <w:p w14:paraId="0E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Об утверждении Положения о порядке осуществления муниципальными организациями шефства над объектами увековечивания памяти защитников Отечества, расположенными на террит</w:t>
      </w:r>
      <w:r>
        <w:rPr>
          <w:rFonts w:ascii="Times New Roman" w:hAnsi="Times New Roman"/>
          <w:b w:val="1"/>
          <w:sz w:val="28"/>
        </w:rPr>
        <w:t xml:space="preserve">ории </w:t>
      </w:r>
      <w:r>
        <w:rPr>
          <w:b w:val="1"/>
          <w:spacing w:val="-6"/>
          <w:sz w:val="28"/>
        </w:rPr>
        <w:t xml:space="preserve">муниципального округа Архангельской области </w:t>
      </w:r>
      <w:r>
        <w:rPr>
          <w:b w:val="1"/>
          <w:spacing w:val="-6"/>
          <w:sz w:val="28"/>
        </w:rPr>
        <w:t>«</w:t>
      </w:r>
      <w:r>
        <w:rPr>
          <w:b w:val="1"/>
          <w:spacing w:val="-6"/>
          <w:sz w:val="28"/>
        </w:rPr>
        <w:t>Город Северодвинск</w:t>
      </w:r>
      <w:r>
        <w:rPr>
          <w:b w:val="1"/>
          <w:spacing w:val="-6"/>
          <w:sz w:val="28"/>
        </w:rPr>
        <w:t>»</w:t>
      </w:r>
    </w:p>
    <w:p w14:paraId="0F000000">
      <w:pPr>
        <w:widowControl w:val="1"/>
        <w:ind/>
        <w:jc w:val="both"/>
        <w:rPr>
          <w:sz w:val="28"/>
        </w:rPr>
      </w:pPr>
    </w:p>
    <w:p w14:paraId="10000000">
      <w:pPr>
        <w:widowControl w:val="1"/>
        <w:ind w:firstLine="709"/>
        <w:jc w:val="both"/>
        <w:rPr>
          <w:spacing w:val="-6"/>
          <w:sz w:val="28"/>
        </w:rPr>
      </w:pPr>
      <w:r>
        <w:rPr>
          <w:rFonts w:ascii="Times New Roman" w:hAnsi="Times New Roman"/>
          <w:sz w:val="28"/>
        </w:rPr>
        <w:t xml:space="preserve">В соответствии </w:t>
      </w:r>
      <w:r>
        <w:rPr>
          <w:rFonts w:ascii="Times New Roman" w:hAnsi="Times New Roman"/>
          <w:sz w:val="28"/>
        </w:rPr>
        <w:t>с пунктом 12 статьи 5 Закона Архангельской области от 04.06.2012 № 482-31-ОЗ «О реализации государственных полномочий Архангельской области в сфере увековечивания памяти погибших при защите Отечества»</w:t>
      </w:r>
      <w:r>
        <w:rPr>
          <w:spacing w:val="-6"/>
          <w:sz w:val="28"/>
        </w:rPr>
        <w:t>, руководствуясь частью 2 статьи 3</w:t>
      </w:r>
      <w:r>
        <w:rPr>
          <w:spacing w:val="-6"/>
          <w:sz w:val="28"/>
        </w:rPr>
        <w:t>6</w:t>
      </w:r>
      <w:r>
        <w:rPr>
          <w:spacing w:val="-6"/>
          <w:sz w:val="28"/>
        </w:rPr>
        <w:t xml:space="preserve"> Устав</w:t>
      </w:r>
      <w:r>
        <w:rPr>
          <w:spacing w:val="-6"/>
          <w:sz w:val="28"/>
        </w:rPr>
        <w:t>а</w:t>
      </w:r>
      <w:r>
        <w:rPr>
          <w:spacing w:val="-6"/>
          <w:sz w:val="28"/>
        </w:rPr>
        <w:t xml:space="preserve"> муниципального округа Архангельской области </w:t>
      </w:r>
      <w:r>
        <w:rPr>
          <w:spacing w:val="-6"/>
          <w:sz w:val="28"/>
        </w:rPr>
        <w:t>«</w:t>
      </w:r>
      <w:r>
        <w:rPr>
          <w:spacing w:val="-6"/>
          <w:sz w:val="28"/>
        </w:rPr>
        <w:t>Город Северодвинск</w:t>
      </w:r>
      <w:r>
        <w:rPr>
          <w:spacing w:val="-6"/>
          <w:sz w:val="28"/>
        </w:rPr>
        <w:t>»</w:t>
      </w:r>
      <w:r>
        <w:rPr>
          <w:spacing w:val="-6"/>
          <w:sz w:val="28"/>
        </w:rPr>
        <w:t xml:space="preserve">, </w:t>
      </w:r>
      <w:r>
        <w:rPr>
          <w:spacing w:val="-6"/>
          <w:sz w:val="28"/>
        </w:rPr>
        <w:t>Совет депутатов Северодвинска</w:t>
      </w:r>
    </w:p>
    <w:p w14:paraId="11000000">
      <w:pPr>
        <w:widowControl w:val="1"/>
        <w:ind w:firstLine="709"/>
        <w:jc w:val="both"/>
        <w:rPr>
          <w:sz w:val="28"/>
        </w:rPr>
      </w:pPr>
    </w:p>
    <w:p w14:paraId="12000000">
      <w:pPr>
        <w:widowControl w:val="1"/>
        <w:ind w:firstLine="709"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решил:</w:t>
      </w:r>
    </w:p>
    <w:p w14:paraId="13000000">
      <w:pPr>
        <w:widowControl w:val="1"/>
        <w:ind w:firstLine="709"/>
        <w:jc w:val="both"/>
        <w:rPr>
          <w:sz w:val="28"/>
        </w:rPr>
      </w:pPr>
    </w:p>
    <w:p w14:paraId="14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1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Утвердить </w:t>
      </w:r>
      <w:r>
        <w:rPr>
          <w:rFonts w:ascii="Times New Roman" w:hAnsi="Times New Roman"/>
          <w:sz w:val="28"/>
        </w:rPr>
        <w:t xml:space="preserve">прилагаемое Положение о порядке осуществления муниципальными организациями шефства над объектами увековечивания памяти защитников Отечества, расположенными на территории </w:t>
      </w:r>
      <w:r>
        <w:rPr>
          <w:spacing w:val="-6"/>
          <w:sz w:val="28"/>
        </w:rPr>
        <w:t xml:space="preserve">муниципального округа Архангельской области </w:t>
      </w:r>
      <w:r>
        <w:rPr>
          <w:spacing w:val="-6"/>
          <w:sz w:val="28"/>
        </w:rPr>
        <w:t>«</w:t>
      </w:r>
      <w:r>
        <w:rPr>
          <w:spacing w:val="-6"/>
          <w:sz w:val="28"/>
        </w:rPr>
        <w:t>Город Северодвинск</w:t>
      </w:r>
      <w:r>
        <w:rPr>
          <w:spacing w:val="-6"/>
          <w:sz w:val="28"/>
        </w:rPr>
        <w:t>»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</w:p>
    <w:p w14:paraId="15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2</w:t>
      </w:r>
      <w:r>
        <w:rPr>
          <w:color w:val="000000"/>
          <w:sz w:val="28"/>
        </w:rPr>
        <w:t>. </w:t>
      </w:r>
      <w:r>
        <w:rPr>
          <w:color w:val="000000"/>
          <w:sz w:val="28"/>
        </w:rPr>
        <w:t xml:space="preserve">Настоящее решение вступает в силу после его </w:t>
      </w:r>
      <w:r>
        <w:rPr>
          <w:color w:val="000000"/>
          <w:sz w:val="28"/>
        </w:rPr>
        <w:t>официального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обнародования</w:t>
      </w:r>
      <w:r>
        <w:rPr>
          <w:color w:val="000000"/>
          <w:sz w:val="28"/>
        </w:rPr>
        <w:t>.</w:t>
      </w:r>
    </w:p>
    <w:p w14:paraId="1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>. </w:t>
      </w:r>
      <w:r>
        <w:rPr>
          <w:sz w:val="28"/>
        </w:rPr>
        <w:t>О</w:t>
      </w:r>
      <w:r>
        <w:rPr>
          <w:sz w:val="28"/>
        </w:rPr>
        <w:t>бнародовать</w:t>
      </w:r>
      <w:r>
        <w:rPr>
          <w:sz w:val="28"/>
        </w:rPr>
        <w:t xml:space="preserve"> (официально опубликовать) настоящее решение</w:t>
      </w:r>
      <w:r>
        <w:rPr>
          <w:sz w:val="28"/>
        </w:rPr>
        <w:t xml:space="preserve"> в сетевом издании «Вполне официально» (вполне-официально.рф)</w:t>
      </w:r>
      <w:r>
        <w:rPr>
          <w:sz w:val="28"/>
        </w:rPr>
        <w:t>.</w:t>
      </w:r>
    </w:p>
    <w:p w14:paraId="17000000">
      <w:pPr>
        <w:widowControl w:val="1"/>
        <w:tabs>
          <w:tab w:leader="none" w:pos="7830" w:val="left"/>
        </w:tabs>
        <w:ind/>
        <w:jc w:val="both"/>
        <w:rPr>
          <w:sz w:val="28"/>
        </w:rPr>
      </w:pPr>
    </w:p>
    <w:p w14:paraId="18000000">
      <w:pPr>
        <w:widowControl w:val="1"/>
        <w:tabs>
          <w:tab w:leader="none" w:pos="7830" w:val="left"/>
        </w:tabs>
        <w:ind/>
        <w:jc w:val="both"/>
        <w:rPr>
          <w:b w:val="1"/>
          <w:sz w:val="28"/>
        </w:rPr>
      </w:pPr>
    </w:p>
    <w:tbl>
      <w:tblPr>
        <w:tblStyle w:val="Style_1"/>
        <w:tblW w:type="auto" w:w="0"/>
        <w:tblLayout w:type="fixed"/>
      </w:tblPr>
      <w:tblGrid>
        <w:gridCol w:w="4857"/>
        <w:gridCol w:w="4857"/>
      </w:tblGrid>
      <w:tr>
        <w:tc>
          <w:tcPr>
            <w:tcW w:type="dxa" w:w="4857"/>
          </w:tcPr>
          <w:p w14:paraId="19000000">
            <w:pPr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14:paraId="1A000000">
            <w:pPr>
              <w:rPr>
                <w:sz w:val="28"/>
              </w:rPr>
            </w:pPr>
            <w:r>
              <w:rPr>
                <w:sz w:val="28"/>
              </w:rPr>
              <w:t>Совета депутатов Северодвинска</w:t>
            </w:r>
          </w:p>
          <w:p w14:paraId="1B000000">
            <w:pPr>
              <w:widowControl w:val="1"/>
              <w:ind/>
              <w:jc w:val="both"/>
              <w:rPr>
                <w:sz w:val="28"/>
              </w:rPr>
            </w:pPr>
          </w:p>
          <w:p w14:paraId="1C000000">
            <w:pPr>
              <w:widowControl w:val="1"/>
              <w:ind/>
              <w:jc w:val="both"/>
              <w:rPr>
                <w:sz w:val="28"/>
              </w:rPr>
            </w:pPr>
          </w:p>
          <w:p w14:paraId="1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_</w:t>
            </w:r>
            <w:r>
              <w:rPr>
                <w:sz w:val="28"/>
              </w:rPr>
              <w:t>__</w:t>
            </w:r>
            <w:r>
              <w:rPr>
                <w:sz w:val="28"/>
              </w:rPr>
              <w:t>_________________М.А. Старожилов</w:t>
            </w:r>
          </w:p>
        </w:tc>
        <w:tc>
          <w:tcPr>
            <w:tcW w:type="dxa" w:w="4857"/>
          </w:tcPr>
          <w:p w14:paraId="1E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Глава Северодвинска</w:t>
            </w:r>
          </w:p>
          <w:p w14:paraId="1F000000">
            <w:pPr>
              <w:widowControl w:val="1"/>
              <w:ind/>
              <w:jc w:val="both"/>
              <w:rPr>
                <w:sz w:val="28"/>
              </w:rPr>
            </w:pPr>
          </w:p>
          <w:p w14:paraId="20000000">
            <w:pPr>
              <w:widowControl w:val="1"/>
              <w:ind/>
              <w:jc w:val="both"/>
              <w:rPr>
                <w:sz w:val="28"/>
              </w:rPr>
            </w:pPr>
          </w:p>
          <w:p w14:paraId="21000000">
            <w:pPr>
              <w:widowControl w:val="1"/>
              <w:ind/>
              <w:jc w:val="both"/>
              <w:rPr>
                <w:sz w:val="28"/>
              </w:rPr>
            </w:pPr>
          </w:p>
          <w:p w14:paraId="22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>
              <w:rPr>
                <w:sz w:val="28"/>
              </w:rPr>
              <w:t>________________</w:t>
            </w:r>
            <w:r>
              <w:rPr>
                <w:sz w:val="28"/>
              </w:rPr>
              <w:t>_____</w:t>
            </w:r>
            <w:r>
              <w:rPr>
                <w:sz w:val="28"/>
              </w:rPr>
              <w:t>И.В. Арсентьев</w:t>
            </w:r>
          </w:p>
        </w:tc>
      </w:tr>
    </w:tbl>
    <w:p w14:paraId="23000000">
      <w:pPr>
        <w:rPr>
          <w:sz w:val="28"/>
        </w:rPr>
      </w:pPr>
    </w:p>
    <w:p w14:paraId="24000000">
      <w:pPr>
        <w:pStyle w:val="Style_2"/>
        <w:widowControl w:val="1"/>
        <w:ind/>
        <w:jc w:val="right"/>
        <w:outlineLvl w:val="0"/>
        <w:rPr>
          <w:sz w:val="28"/>
        </w:rPr>
      </w:pPr>
    </w:p>
    <w:p w14:paraId="25000000">
      <w:pPr>
        <w:pStyle w:val="Style_2"/>
        <w:widowControl w:val="1"/>
        <w:ind/>
        <w:jc w:val="right"/>
        <w:outlineLvl w:val="0"/>
        <w:rPr>
          <w:sz w:val="28"/>
        </w:rPr>
      </w:pPr>
      <w:r>
        <w:rPr>
          <w:sz w:val="28"/>
        </w:rPr>
        <w:t xml:space="preserve">Утверждено </w:t>
      </w:r>
      <w:r>
        <w:rPr>
          <w:spacing w:val="-6"/>
          <w:sz w:val="28"/>
        </w:rPr>
        <w:t xml:space="preserve">Решением </w:t>
      </w:r>
    </w:p>
    <w:p w14:paraId="26000000">
      <w:pPr>
        <w:pStyle w:val="Style_2"/>
        <w:widowControl w:val="1"/>
        <w:ind/>
        <w:jc w:val="right"/>
        <w:outlineLvl w:val="0"/>
        <w:rPr>
          <w:sz w:val="28"/>
        </w:rPr>
      </w:pPr>
      <w:r>
        <w:rPr>
          <w:spacing w:val="-6"/>
          <w:sz w:val="28"/>
        </w:rPr>
        <w:t>Совета депутатов Северодвинска</w:t>
      </w:r>
    </w:p>
    <w:p w14:paraId="27000000">
      <w:pPr>
        <w:pStyle w:val="Style_2"/>
        <w:widowControl w:val="1"/>
        <w:ind/>
        <w:jc w:val="right"/>
        <w:rPr>
          <w:sz w:val="28"/>
        </w:rPr>
      </w:pPr>
      <w:r>
        <w:rPr>
          <w:sz w:val="28"/>
        </w:rPr>
        <w:t>от _____________ №__________</w:t>
      </w:r>
    </w:p>
    <w:p w14:paraId="28000000">
      <w:pPr>
        <w:pStyle w:val="Style_2"/>
        <w:widowControl w:val="1"/>
        <w:ind/>
        <w:jc w:val="both"/>
        <w:rPr>
          <w:sz w:val="28"/>
        </w:rPr>
      </w:pPr>
    </w:p>
    <w:p w14:paraId="29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bookmarkStart w:id="1" w:name="P33"/>
      <w:bookmarkEnd w:id="1"/>
      <w:r>
        <w:rPr>
          <w:rFonts w:ascii="Times New Roman" w:hAnsi="Times New Roman"/>
          <w:sz w:val="28"/>
        </w:rPr>
        <w:t>ПОЛОЖЕНИЕ</w:t>
      </w:r>
    </w:p>
    <w:p w14:paraId="2A000000">
      <w:pPr>
        <w:pStyle w:val="Style_2"/>
        <w:widowControl w:val="1"/>
        <w:ind/>
        <w:jc w:val="center"/>
        <w:rPr>
          <w:b w:val="1"/>
          <w:sz w:val="28"/>
        </w:rPr>
      </w:pPr>
      <w:r>
        <w:rPr>
          <w:rFonts w:ascii="Times New Roman" w:hAnsi="Times New Roman"/>
          <w:sz w:val="28"/>
        </w:rPr>
        <w:t xml:space="preserve">о порядке осуществления муниципальными организациями шефства над объектами увековечивания памяти защитников Отечества, расположенными на территории </w:t>
      </w:r>
      <w:r>
        <w:rPr>
          <w:spacing w:val="-6"/>
          <w:sz w:val="28"/>
        </w:rPr>
        <w:t xml:space="preserve">муниципального округа Архангельской области </w:t>
      </w:r>
      <w:r>
        <w:rPr>
          <w:spacing w:val="-6"/>
          <w:sz w:val="28"/>
        </w:rPr>
        <w:t>«</w:t>
      </w:r>
      <w:r>
        <w:rPr>
          <w:spacing w:val="-6"/>
          <w:sz w:val="28"/>
        </w:rPr>
        <w:t>Город Северодвинск</w:t>
      </w:r>
      <w:r>
        <w:rPr>
          <w:spacing w:val="-6"/>
          <w:sz w:val="28"/>
        </w:rPr>
        <w:t>»</w:t>
      </w:r>
    </w:p>
    <w:p w14:paraId="2B000000">
      <w:pPr>
        <w:pStyle w:val="Style_2"/>
        <w:widowControl w:val="1"/>
        <w:ind/>
        <w:jc w:val="both"/>
        <w:rPr>
          <w:sz w:val="28"/>
        </w:rPr>
      </w:pPr>
    </w:p>
    <w:p w14:paraId="2C000000">
      <w:pPr>
        <w:widowControl w:val="0"/>
        <w:spacing w:after="0" w:line="240" w:lineRule="auto"/>
        <w:ind/>
        <w:jc w:val="center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I. Общие положения</w:t>
      </w:r>
    </w:p>
    <w:p w14:paraId="2D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2E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Настоящее Положение разработано в соответствии со статьей 5 Закона Архангельской области от 04.06.2012 № 482-31-ОЗ «О реализации государственных полномочий Архангельской области в сфере увековечивания памяти погибших при защите Отечества».</w:t>
      </w:r>
    </w:p>
    <w:p w14:paraId="2F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В настоящем Положении используются следующие основные понятия:</w:t>
      </w:r>
    </w:p>
    <w:p w14:paraId="30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объекты увековечивания памяти защитников Отечества – памятники, стелы, обелиски, элементы ограждения и другие мемориальные сооружения и объекты, расположенные на территории Архангельской области, связанные с увековечиванием памяти защитников Отечества, не являющиеся воинскими захоронениями в соответствии с Законом Российской Федерации от 14.01.1993 № 4292-I «Об увековечивании памяти погибших при защите Отечества» и не включенные в реестр мемориальных сооружений, находящихся вне воинских захоронений и содержащих Вечный огонь или Огонь памяти;</w:t>
      </w:r>
    </w:p>
    <w:p w14:paraId="31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шефская работа (деятельность) – добровольная деятельность организаций организаций, подведомственных органам местного самоуправления </w:t>
      </w:r>
      <w:r>
        <w:rPr>
          <w:spacing w:val="-6"/>
          <w:sz w:val="28"/>
        </w:rPr>
        <w:t xml:space="preserve">муниципального округа Архангельской области </w:t>
      </w:r>
      <w:r>
        <w:rPr>
          <w:spacing w:val="-6"/>
          <w:sz w:val="28"/>
        </w:rPr>
        <w:t>«</w:t>
      </w:r>
      <w:r>
        <w:rPr>
          <w:spacing w:val="-6"/>
          <w:sz w:val="28"/>
        </w:rPr>
        <w:t>Город Северодвинск</w:t>
      </w:r>
      <w:r>
        <w:rPr>
          <w:spacing w:val="-6"/>
          <w:sz w:val="28"/>
        </w:rPr>
        <w:t>»</w:t>
      </w:r>
      <w:r>
        <w:rPr>
          <w:rFonts w:ascii="Times New Roman" w:hAnsi="Times New Roman"/>
          <w:sz w:val="28"/>
        </w:rPr>
        <w:t xml:space="preserve"> (далее – шефствующая организация) по сохранению и использованию объектов увековечивания памяти защитников Отечества, расположенных на территории </w:t>
      </w:r>
      <w:r>
        <w:rPr>
          <w:spacing w:val="-6"/>
          <w:sz w:val="28"/>
        </w:rPr>
        <w:t xml:space="preserve">муниципального округа Архангельской области </w:t>
      </w:r>
      <w:r>
        <w:rPr>
          <w:spacing w:val="-6"/>
          <w:sz w:val="28"/>
        </w:rPr>
        <w:t>«</w:t>
      </w:r>
      <w:r>
        <w:rPr>
          <w:spacing w:val="-6"/>
          <w:sz w:val="28"/>
        </w:rPr>
        <w:t>Город Северодвинск</w:t>
      </w:r>
      <w:r>
        <w:rPr>
          <w:spacing w:val="-6"/>
          <w:sz w:val="28"/>
        </w:rPr>
        <w:t>»</w:t>
      </w:r>
      <w:r>
        <w:rPr>
          <w:rFonts w:ascii="Times New Roman" w:hAnsi="Times New Roman"/>
          <w:sz w:val="28"/>
        </w:rPr>
        <w:t xml:space="preserve">, осуществляемая при согласовании и под контролем Администрации </w:t>
      </w:r>
      <w:r>
        <w:rPr>
          <w:spacing w:val="-6"/>
          <w:sz w:val="28"/>
        </w:rPr>
        <w:t xml:space="preserve">муниципального округа Архангельской области </w:t>
      </w:r>
      <w:r>
        <w:rPr>
          <w:spacing w:val="-6"/>
          <w:sz w:val="28"/>
        </w:rPr>
        <w:t>«</w:t>
      </w:r>
      <w:r>
        <w:rPr>
          <w:spacing w:val="-6"/>
          <w:sz w:val="28"/>
        </w:rPr>
        <w:t>Город Северодвинск</w:t>
      </w:r>
      <w:r>
        <w:rPr>
          <w:spacing w:val="-6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32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Иные понятия, используемые в постановлении, применяются в значениях, установленных законодательством Россйиской Федерации и законодательством Архангельской области.</w:t>
      </w:r>
    </w:p>
    <w:p w14:paraId="33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sz w:val="28"/>
        </w:rPr>
      </w:pPr>
    </w:p>
    <w:p w14:paraId="34000000">
      <w:pPr>
        <w:widowControl w:val="0"/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II. Порядок закрепления Шефствующих организаций за объектами увековечивания памяти защитников Отечества.</w:t>
      </w:r>
    </w:p>
    <w:p w14:paraId="35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sz w:val="28"/>
        </w:rPr>
      </w:pPr>
    </w:p>
    <w:p w14:paraId="36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Закрепление предприятий, учреждений и организаций за конкретными объектами осуществляется распоряжением </w:t>
      </w:r>
      <w:r>
        <w:rPr>
          <w:rFonts w:ascii="Times New Roman" w:hAnsi="Times New Roman"/>
          <w:sz w:val="28"/>
        </w:rPr>
        <w:t xml:space="preserve">Администрации </w:t>
      </w:r>
      <w:r>
        <w:rPr>
          <w:spacing w:val="-6"/>
          <w:sz w:val="28"/>
        </w:rPr>
        <w:t xml:space="preserve">муниципального округа Архангельской области </w:t>
      </w:r>
      <w:r>
        <w:rPr>
          <w:spacing w:val="-6"/>
          <w:sz w:val="28"/>
        </w:rPr>
        <w:t>«</w:t>
      </w:r>
      <w:r>
        <w:rPr>
          <w:spacing w:val="-6"/>
          <w:sz w:val="28"/>
        </w:rPr>
        <w:t>Город Северодвинск</w:t>
      </w:r>
      <w:r>
        <w:rPr>
          <w:spacing w:val="-6"/>
          <w:sz w:val="28"/>
        </w:rPr>
        <w:t xml:space="preserve">» в порядке, установленном постановлением </w:t>
      </w:r>
      <w:r>
        <w:rPr>
          <w:rFonts w:ascii="Times New Roman" w:hAnsi="Times New Roman"/>
          <w:sz w:val="28"/>
        </w:rPr>
        <w:t xml:space="preserve">Администрации </w:t>
      </w:r>
      <w:r>
        <w:rPr>
          <w:spacing w:val="-6"/>
          <w:sz w:val="28"/>
        </w:rPr>
        <w:t xml:space="preserve">муниципального округа Архангельской области </w:t>
      </w:r>
      <w:r>
        <w:rPr>
          <w:spacing w:val="-6"/>
          <w:sz w:val="28"/>
        </w:rPr>
        <w:t>«</w:t>
      </w:r>
      <w:r>
        <w:rPr>
          <w:spacing w:val="-6"/>
          <w:sz w:val="28"/>
        </w:rPr>
        <w:t>Город Северодвинск</w:t>
      </w:r>
      <w:r>
        <w:rPr>
          <w:spacing w:val="-6"/>
          <w:sz w:val="28"/>
        </w:rPr>
        <w:t>».</w:t>
      </w:r>
    </w:p>
    <w:p w14:paraId="37000000">
      <w:pPr>
        <w:widowControl w:val="0"/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III. Порядок регулирования отношений органов местного самоуправления и шефствующих организаций по сохранению и использованию объектов увековечивания памяти защитников Отечества</w:t>
      </w:r>
    </w:p>
    <w:p w14:paraId="38000000">
      <w:pPr>
        <w:widowControl w:val="0"/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8"/>
        </w:rPr>
      </w:pPr>
    </w:p>
    <w:p w14:paraId="39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3.1. Шефствующая организация:</w:t>
      </w:r>
    </w:p>
    <w:p w14:paraId="3A000000">
      <w:pPr>
        <w:widowControl w:val="0"/>
        <w:numPr>
          <w:numId w:val="1"/>
        </w:numPr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Осуществляет контроль за состоянием воинских захоронений, мемориальных сооружений и объектов, увековечивающих память погибших при защите Отечества, в отношении которых проводится шефская работа;</w:t>
      </w:r>
    </w:p>
    <w:p w14:paraId="3B000000">
      <w:pPr>
        <w:widowControl w:val="0"/>
        <w:numPr>
          <w:numId w:val="1"/>
        </w:numPr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 согласованию с </w:t>
      </w:r>
      <w:r>
        <w:rPr>
          <w:rFonts w:ascii="Times New Roman" w:hAnsi="Times New Roman"/>
          <w:sz w:val="28"/>
        </w:rPr>
        <w:t xml:space="preserve">Администрацией </w:t>
      </w:r>
      <w:r>
        <w:rPr>
          <w:spacing w:val="-6"/>
          <w:sz w:val="28"/>
        </w:rPr>
        <w:t xml:space="preserve">муниципального округа Архангельской области </w:t>
      </w:r>
      <w:r>
        <w:rPr>
          <w:spacing w:val="-6"/>
          <w:sz w:val="28"/>
        </w:rPr>
        <w:t>«</w:t>
      </w:r>
      <w:r>
        <w:rPr>
          <w:spacing w:val="-6"/>
          <w:sz w:val="28"/>
        </w:rPr>
        <w:t>Город Северодвинск</w:t>
      </w:r>
      <w:r>
        <w:rPr>
          <w:spacing w:val="-6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 проводит мероприятия по благоустройству воинских захоронений, мемориальных сооружений, объектов увековечивания памяти защитников Отечества, а также по восстановлению пришедших в негодность воинских захоронений, мемориальных сооружений, объектов увековечивания памяти защитников Отечества;</w:t>
      </w:r>
    </w:p>
    <w:p w14:paraId="3C000000">
      <w:pPr>
        <w:widowControl w:val="0"/>
        <w:numPr>
          <w:numId w:val="1"/>
        </w:numPr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Направляет информацию в правоохранительные органы в случае выявления вандализма или других противоправных действий в отношении шефствующих объектов;</w:t>
      </w:r>
    </w:p>
    <w:p w14:paraId="3D000000">
      <w:pPr>
        <w:widowControl w:val="0"/>
        <w:numPr>
          <w:numId w:val="1"/>
        </w:numPr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Свободно распространяет информацию о своей шефской деятельности;</w:t>
      </w:r>
    </w:p>
    <w:p w14:paraId="3E000000">
      <w:pPr>
        <w:widowControl w:val="0"/>
        <w:numPr>
          <w:numId w:val="1"/>
        </w:numPr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Вносит предложения и участвует в выработке решений органов местного самоуправления, касающихся вопросов сохранения воинских захоронений, мемориальных сооружений, объектов увековечивания памяти защитников Отечества.</w:t>
      </w:r>
    </w:p>
    <w:p w14:paraId="3F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3.2. </w:t>
      </w:r>
      <w:r>
        <w:rPr>
          <w:rFonts w:ascii="Times New Roman" w:hAnsi="Times New Roman"/>
          <w:sz w:val="28"/>
        </w:rPr>
        <w:t xml:space="preserve">Администрация </w:t>
      </w:r>
      <w:r>
        <w:rPr>
          <w:spacing w:val="-6"/>
          <w:sz w:val="28"/>
        </w:rPr>
        <w:t xml:space="preserve">муниципального округа Архангельской области </w:t>
      </w:r>
      <w:r>
        <w:rPr>
          <w:spacing w:val="-6"/>
          <w:sz w:val="28"/>
        </w:rPr>
        <w:t>«</w:t>
      </w:r>
      <w:r>
        <w:rPr>
          <w:spacing w:val="-6"/>
          <w:sz w:val="28"/>
        </w:rPr>
        <w:t>Город Северодвинск</w:t>
      </w:r>
      <w:r>
        <w:rPr>
          <w:spacing w:val="-6"/>
          <w:sz w:val="28"/>
        </w:rPr>
        <w:t>»</w:t>
      </w:r>
      <w:r>
        <w:rPr>
          <w:rFonts w:ascii="Times New Roman" w:hAnsi="Times New Roman"/>
          <w:b w:val="0"/>
          <w:sz w:val="28"/>
        </w:rPr>
        <w:t>:</w:t>
      </w:r>
    </w:p>
    <w:p w14:paraId="40000000">
      <w:pPr>
        <w:widowControl w:val="0"/>
        <w:numPr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Координирует деятельность шефствующей организации;</w:t>
      </w:r>
    </w:p>
    <w:p w14:paraId="41000000">
      <w:pPr>
        <w:widowControl w:val="0"/>
        <w:numPr>
          <w:numId w:val="2"/>
        </w:numPr>
        <w:spacing w:after="0" w:line="240" w:lineRule="auto"/>
        <w:ind w:firstLine="567" w:left="0"/>
        <w:jc w:val="both"/>
        <w:rPr>
          <w:sz w:val="28"/>
        </w:rPr>
      </w:pPr>
      <w:r>
        <w:rPr>
          <w:rFonts w:ascii="Times New Roman" w:hAnsi="Times New Roman"/>
          <w:b w:val="0"/>
          <w:sz w:val="28"/>
        </w:rPr>
        <w:t xml:space="preserve">Осуществляет прием и обобщение информации о проведенных шефствующей организацией мероприятиях по содержанию в порядке и благоустройству воинских захоронений, мемориальных сооружений, объектов увековечивания памяти защитников Отечества, расположенных на территории </w:t>
      </w:r>
      <w:r>
        <w:rPr>
          <w:spacing w:val="-6"/>
          <w:sz w:val="28"/>
        </w:rPr>
        <w:t xml:space="preserve">муниципального округа Архангельской области </w:t>
      </w:r>
      <w:r>
        <w:rPr>
          <w:spacing w:val="-6"/>
          <w:sz w:val="28"/>
        </w:rPr>
        <w:t>«</w:t>
      </w:r>
      <w:r>
        <w:rPr>
          <w:spacing w:val="-6"/>
          <w:sz w:val="28"/>
        </w:rPr>
        <w:t>Город Северодвинск</w:t>
      </w:r>
      <w:r>
        <w:rPr>
          <w:spacing w:val="-6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, а также по восстановлению пришедших в негодность </w:t>
      </w:r>
      <w:r>
        <w:rPr>
          <w:rFonts w:ascii="Times New Roman" w:hAnsi="Times New Roman"/>
          <w:b w:val="0"/>
          <w:sz w:val="28"/>
        </w:rPr>
        <w:t>объектов увековечивания памяти защитников Отечества;</w:t>
      </w:r>
    </w:p>
    <w:p w14:paraId="42000000">
      <w:pPr>
        <w:widowControl w:val="0"/>
        <w:numPr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Поощряет за добросовестный и ответственный подход к делу сохранения объектов увековечивания памяти защитников Отечества шефствующие организации, членов шефствующих организаций почетными грамотами и благодарственными письмами;</w:t>
      </w:r>
    </w:p>
    <w:p w14:paraId="43000000">
      <w:pPr>
        <w:widowControl w:val="0"/>
        <w:numPr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Информирует население о деятельности шефствующих организаций по сохранению объектов увековечивания памяти защитников Отечества. </w:t>
      </w:r>
    </w:p>
    <w:sectPr>
      <w:pgSz w:h="16838" w:orient="portrait" w:w="11906"/>
      <w:pgMar w:bottom="1077" w:footer="709" w:gutter="0" w:header="709" w:left="1701" w:right="567" w:top="107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0"/>
        <w:ind w:hanging="360" w:left="720"/>
      </w:pPr>
    </w:lvl>
    <w:lvl w:ilvl="1">
      <w:start w:val="1"/>
      <w:numFmt w:val="lowerLetter"/>
      <w:lvlText w:val="%2."/>
      <w:pPr>
        <w:widowControl w:val="0"/>
        <w:ind w:hanging="360" w:left="1440"/>
      </w:pPr>
    </w:lvl>
    <w:lvl w:ilvl="2">
      <w:start w:val="1"/>
      <w:numFmt w:val="lowerRoman"/>
      <w:lvlText w:val="%3."/>
      <w:lvlJc w:val="right"/>
      <w:pPr>
        <w:widowControl w:val="0"/>
        <w:ind w:hanging="360" w:left="2160"/>
      </w:pPr>
    </w:lvl>
    <w:lvl w:ilvl="3">
      <w:start w:val="1"/>
      <w:numFmt w:val="decimal"/>
      <w:lvlText w:val="%4."/>
      <w:pPr>
        <w:widowControl w:val="0"/>
        <w:ind w:hanging="360" w:left="2880"/>
      </w:pPr>
    </w:lvl>
    <w:lvl w:ilvl="4">
      <w:start w:val="1"/>
      <w:numFmt w:val="lowerLetter"/>
      <w:lvlText w:val="%5."/>
      <w:pPr>
        <w:widowControl w:val="0"/>
        <w:ind w:hanging="360" w:left="3600"/>
      </w:pPr>
    </w:lvl>
    <w:lvl w:ilvl="5">
      <w:start w:val="1"/>
      <w:numFmt w:val="lowerRoman"/>
      <w:lvlText w:val="%6."/>
      <w:lvlJc w:val="right"/>
      <w:pPr>
        <w:widowControl w:val="0"/>
        <w:ind w:hanging="360" w:left="4320"/>
      </w:pPr>
    </w:lvl>
    <w:lvl w:ilvl="6">
      <w:start w:val="1"/>
      <w:numFmt w:val="decimal"/>
      <w:lvlText w:val="%7."/>
      <w:pPr>
        <w:widowControl w:val="0"/>
        <w:ind w:hanging="360" w:left="5040"/>
      </w:pPr>
    </w:lvl>
    <w:lvl w:ilvl="7">
      <w:start w:val="1"/>
      <w:numFmt w:val="lowerLetter"/>
      <w:lvlText w:val="%8."/>
      <w:pPr>
        <w:widowControl w:val="0"/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ind w:hanging="360" w:left="6480"/>
      </w:pPr>
    </w:lvl>
  </w:abstractNum>
  <w:abstractNum w:abstractNumId="1">
    <w:lvl w:ilvl="0">
      <w:start w:val="1"/>
      <w:numFmt w:val="decimal"/>
      <w:lvlText w:val="%1."/>
      <w:pPr>
        <w:widowControl w:val="0"/>
        <w:ind w:hanging="360" w:left="720"/>
      </w:pPr>
    </w:lvl>
    <w:lvl w:ilvl="1">
      <w:start w:val="1"/>
      <w:numFmt w:val="lowerLetter"/>
      <w:lvlText w:val="%2."/>
      <w:pPr>
        <w:widowControl w:val="0"/>
        <w:ind w:hanging="360" w:left="1440"/>
      </w:pPr>
    </w:lvl>
    <w:lvl w:ilvl="2">
      <w:start w:val="1"/>
      <w:numFmt w:val="lowerRoman"/>
      <w:lvlText w:val="%3."/>
      <w:lvlJc w:val="right"/>
      <w:pPr>
        <w:widowControl w:val="0"/>
        <w:ind w:hanging="360" w:left="2160"/>
      </w:pPr>
    </w:lvl>
    <w:lvl w:ilvl="3">
      <w:start w:val="1"/>
      <w:numFmt w:val="decimal"/>
      <w:lvlText w:val="%4."/>
      <w:pPr>
        <w:widowControl w:val="0"/>
        <w:ind w:hanging="360" w:left="2880"/>
      </w:pPr>
    </w:lvl>
    <w:lvl w:ilvl="4">
      <w:start w:val="1"/>
      <w:numFmt w:val="lowerLetter"/>
      <w:lvlText w:val="%5."/>
      <w:pPr>
        <w:widowControl w:val="0"/>
        <w:ind w:hanging="360" w:left="3600"/>
      </w:pPr>
    </w:lvl>
    <w:lvl w:ilvl="5">
      <w:start w:val="1"/>
      <w:numFmt w:val="lowerRoman"/>
      <w:lvlText w:val="%6."/>
      <w:lvlJc w:val="right"/>
      <w:pPr>
        <w:widowControl w:val="0"/>
        <w:ind w:hanging="360" w:left="4320"/>
      </w:pPr>
    </w:lvl>
    <w:lvl w:ilvl="6">
      <w:start w:val="1"/>
      <w:numFmt w:val="decimal"/>
      <w:lvlText w:val="%7."/>
      <w:pPr>
        <w:widowControl w:val="0"/>
        <w:ind w:hanging="360" w:left="5040"/>
      </w:pPr>
    </w:lvl>
    <w:lvl w:ilvl="7">
      <w:start w:val="1"/>
      <w:numFmt w:val="lowerLetter"/>
      <w:lvlText w:val="%8."/>
      <w:pPr>
        <w:widowControl w:val="0"/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3" w:type="paragraph">
    <w:name w:val="ConsPlusTitle"/>
    <w:link w:val="Style_3_ch"/>
    <w:rPr>
      <w:rFonts w:ascii="Arial" w:hAnsi="Arial"/>
      <w:b w:val="1"/>
    </w:rPr>
  </w:style>
  <w:style w:styleId="Style_3_ch" w:type="character">
    <w:name w:val="ConsPlusTitle"/>
    <w:link w:val="Style_3"/>
    <w:rPr>
      <w:rFonts w:ascii="Arial" w:hAnsi="Arial"/>
      <w:b w:val="1"/>
    </w:rPr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annotation subject"/>
    <w:basedOn w:val="Style_8"/>
    <w:next w:val="Style_8"/>
    <w:link w:val="Style_7_ch"/>
    <w:rPr>
      <w:b w:val="1"/>
    </w:rPr>
  </w:style>
  <w:style w:styleId="Style_7_ch" w:type="character">
    <w:name w:val="annotation subject"/>
    <w:basedOn w:val="Style_8_ch"/>
    <w:link w:val="Style_7"/>
    <w:rPr>
      <w:b w:val="1"/>
    </w:rPr>
  </w:style>
  <w:style w:styleId="Style_9" w:type="paragraph">
    <w:name w:val="toc 6"/>
    <w:next w:val="Style_4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Body Text Indent"/>
    <w:basedOn w:val="Style_4"/>
    <w:link w:val="Style_11_ch"/>
    <w:pPr>
      <w:widowControl w:val="1"/>
      <w:ind w:firstLine="709"/>
      <w:jc w:val="both"/>
    </w:pPr>
    <w:rPr>
      <w:sz w:val="26"/>
    </w:rPr>
  </w:style>
  <w:style w:styleId="Style_11_ch" w:type="character">
    <w:name w:val="Body Text Indent"/>
    <w:basedOn w:val="Style_4_ch"/>
    <w:link w:val="Style_11"/>
    <w:rPr>
      <w:sz w:val="26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4"/>
    <w:next w:val="Style_4"/>
    <w:link w:val="Style_13_ch"/>
    <w:uiPriority w:val="9"/>
    <w:qFormat/>
    <w:pPr>
      <w:keepNext w:val="1"/>
      <w:widowControl w:val="1"/>
      <w:ind/>
      <w:outlineLvl w:val="2"/>
    </w:pPr>
  </w:style>
  <w:style w:styleId="Style_13_ch" w:type="character">
    <w:name w:val="heading 3"/>
    <w:basedOn w:val="Style_4_ch"/>
    <w:link w:val="Style_13"/>
  </w:style>
  <w:style w:styleId="Style_14" w:type="paragraph">
    <w:name w:val="ConsNormal"/>
    <w:link w:val="Style_14_ch"/>
    <w:pPr>
      <w:widowControl w:val="0"/>
      <w:ind w:firstLine="720"/>
    </w:pPr>
    <w:rPr>
      <w:rFonts w:ascii="Consultant" w:hAnsi="Consultant"/>
      <w:sz w:val="18"/>
    </w:rPr>
  </w:style>
  <w:style w:styleId="Style_14_ch" w:type="character">
    <w:name w:val="ConsNormal"/>
    <w:link w:val="Style_14"/>
    <w:rPr>
      <w:rFonts w:ascii="Consultant" w:hAnsi="Consultant"/>
      <w:sz w:val="18"/>
    </w:rPr>
  </w:style>
  <w:style w:styleId="Style_15" w:type="paragraph">
    <w:name w:val="blk"/>
    <w:link w:val="Style_15_ch"/>
  </w:style>
  <w:style w:styleId="Style_15_ch" w:type="character">
    <w:name w:val="blk"/>
    <w:link w:val="Style_15"/>
  </w:style>
  <w:style w:styleId="Style_2" w:type="paragraph">
    <w:name w:val="ConsPlusNormal"/>
    <w:link w:val="Style_2_ch"/>
    <w:pPr>
      <w:widowControl w:val="0"/>
      <w:ind/>
    </w:pPr>
    <w:rPr>
      <w:rFonts w:ascii="Times New Roman" w:hAnsi="Times New Roman"/>
      <w:sz w:val="24"/>
    </w:rPr>
  </w:style>
  <w:style w:styleId="Style_2_ch" w:type="character">
    <w:name w:val="ConsPlusNormal"/>
    <w:link w:val="Style_2"/>
    <w:rPr>
      <w:rFonts w:ascii="Times New Roman" w:hAnsi="Times New Roman"/>
      <w:sz w:val="24"/>
    </w:rPr>
  </w:style>
  <w:style w:styleId="Style_16" w:type="paragraph">
    <w:name w:val="List Paragraph"/>
    <w:basedOn w:val="Style_4"/>
    <w:link w:val="Style_16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16_ch" w:type="character">
    <w:name w:val="List Paragraph"/>
    <w:basedOn w:val="Style_4_ch"/>
    <w:link w:val="Style_16"/>
    <w:rPr>
      <w:rFonts w:ascii="Calibri" w:hAnsi="Calibri"/>
      <w:sz w:val="22"/>
    </w:rPr>
  </w:style>
  <w:style w:styleId="Style_17" w:type="paragraph">
    <w:name w:val="Balloon Text"/>
    <w:basedOn w:val="Style_4"/>
    <w:link w:val="Style_17_ch"/>
    <w:rPr>
      <w:rFonts w:ascii="Segoe UI" w:hAnsi="Segoe UI"/>
      <w:sz w:val="18"/>
    </w:rPr>
  </w:style>
  <w:style w:styleId="Style_17_ch" w:type="character">
    <w:name w:val="Balloon Text"/>
    <w:basedOn w:val="Style_4_ch"/>
    <w:link w:val="Style_17"/>
    <w:rPr>
      <w:rFonts w:ascii="Segoe UI" w:hAnsi="Segoe UI"/>
      <w:sz w:val="18"/>
    </w:rPr>
  </w:style>
  <w:style w:styleId="Style_18" w:type="paragraph">
    <w:name w:val="toc 3"/>
    <w:next w:val="Style_4"/>
    <w:link w:val="Style_1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No Spacing"/>
    <w:link w:val="Style_20_ch"/>
    <w:rPr>
      <w:sz w:val="22"/>
    </w:rPr>
  </w:style>
  <w:style w:styleId="Style_20_ch" w:type="character">
    <w:name w:val="No Spacing"/>
    <w:link w:val="Style_20"/>
    <w:rPr>
      <w:sz w:val="22"/>
    </w:rPr>
  </w:style>
  <w:style w:styleId="Style_21" w:type="paragraph">
    <w:name w:val="annotation reference"/>
    <w:link w:val="Style_21_ch"/>
    <w:rPr>
      <w:sz w:val="16"/>
    </w:rPr>
  </w:style>
  <w:style w:styleId="Style_21_ch" w:type="character">
    <w:name w:val="annotation reference"/>
    <w:link w:val="Style_21"/>
    <w:rPr>
      <w:sz w:val="16"/>
    </w:rPr>
  </w:style>
  <w:style w:styleId="Style_22" w:type="paragraph">
    <w:name w:val="footnote reference"/>
    <w:link w:val="Style_22_ch"/>
    <w:rPr>
      <w:vertAlign w:val="superscript"/>
    </w:rPr>
  </w:style>
  <w:style w:styleId="Style_22_ch" w:type="character">
    <w:name w:val="footnote reference"/>
    <w:link w:val="Style_22"/>
    <w:rPr>
      <w:vertAlign w:val="superscript"/>
    </w:rPr>
  </w:style>
  <w:style w:styleId="Style_23" w:type="paragraph">
    <w:name w:val="heading 5"/>
    <w:next w:val="Style_4"/>
    <w:link w:val="Style_2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next w:val="Style_4"/>
    <w:link w:val="Style_2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5" w:type="paragraph">
    <w:name w:val="Heading"/>
    <w:link w:val="Style_25_ch"/>
    <w:rPr>
      <w:rFonts w:ascii="Arial" w:hAnsi="Arial"/>
      <w:b w:val="1"/>
      <w:sz w:val="22"/>
    </w:rPr>
  </w:style>
  <w:style w:styleId="Style_25_ch" w:type="character">
    <w:name w:val="Heading"/>
    <w:link w:val="Style_25"/>
    <w:rPr>
      <w:rFonts w:ascii="Arial" w:hAnsi="Arial"/>
      <w:b w:val="1"/>
      <w:sz w:val="22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basedOn w:val="Style_4"/>
    <w:link w:val="Style_27_ch"/>
    <w:rPr>
      <w:rFonts w:ascii="Calibri" w:hAnsi="Calibri"/>
      <w:sz w:val="20"/>
    </w:rPr>
  </w:style>
  <w:style w:styleId="Style_27_ch" w:type="character">
    <w:name w:val="Footnote"/>
    <w:basedOn w:val="Style_4_ch"/>
    <w:link w:val="Style_27"/>
    <w:rPr>
      <w:rFonts w:ascii="Calibri" w:hAnsi="Calibri"/>
      <w:sz w:val="20"/>
    </w:rPr>
  </w:style>
  <w:style w:styleId="Style_28" w:type="paragraph">
    <w:name w:val="toc 1"/>
    <w:next w:val="Style_4"/>
    <w:link w:val="Style_2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30" w:type="paragraph">
    <w:name w:val="ConsPlusNonformat"/>
    <w:link w:val="Style_30_ch"/>
    <w:pPr>
      <w:widowControl w:val="0"/>
      <w:ind/>
    </w:pPr>
    <w:rPr>
      <w:rFonts w:ascii="Courier New" w:hAnsi="Courier New"/>
    </w:rPr>
  </w:style>
  <w:style w:styleId="Style_30_ch" w:type="character">
    <w:name w:val="ConsPlusNonformat"/>
    <w:link w:val="Style_30"/>
    <w:rPr>
      <w:rFonts w:ascii="Courier New" w:hAnsi="Courier New"/>
    </w:rPr>
  </w:style>
  <w:style w:styleId="Style_31" w:type="paragraph">
    <w:name w:val="1"/>
    <w:basedOn w:val="Style_4"/>
    <w:next w:val="Style_32"/>
    <w:link w:val="Style_31_ch"/>
    <w:pPr>
      <w:widowControl w:val="1"/>
      <w:ind/>
      <w:jc w:val="center"/>
    </w:pPr>
    <w:rPr>
      <w:rFonts w:ascii="Calibri" w:hAnsi="Calibri"/>
      <w:b w:val="1"/>
      <w:caps w:val="1"/>
    </w:rPr>
  </w:style>
  <w:style w:styleId="Style_31_ch" w:type="character">
    <w:name w:val="1"/>
    <w:basedOn w:val="Style_4_ch"/>
    <w:link w:val="Style_31"/>
    <w:rPr>
      <w:rFonts w:ascii="Calibri" w:hAnsi="Calibri"/>
      <w:b w:val="1"/>
      <w:caps w:val="1"/>
    </w:rPr>
  </w:style>
  <w:style w:styleId="Style_33" w:type="paragraph">
    <w:name w:val="toc 9"/>
    <w:next w:val="Style_4"/>
    <w:link w:val="Style_3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34" w:type="paragraph">
    <w:name w:val="toc 8"/>
    <w:next w:val="Style_4"/>
    <w:link w:val="Style_3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5" w:type="paragraph">
    <w:name w:val="footer"/>
    <w:basedOn w:val="Style_4"/>
    <w:link w:val="Style_35_ch"/>
    <w:pPr>
      <w:widowControl w:val="1"/>
      <w:tabs>
        <w:tab w:leader="none" w:pos="4677" w:val="center"/>
        <w:tab w:leader="none" w:pos="9355" w:val="right"/>
      </w:tabs>
      <w:ind/>
    </w:pPr>
  </w:style>
  <w:style w:styleId="Style_35_ch" w:type="character">
    <w:name w:val="footer"/>
    <w:basedOn w:val="Style_4_ch"/>
    <w:link w:val="Style_35"/>
  </w:style>
  <w:style w:styleId="Style_36" w:type="paragraph">
    <w:name w:val="toc 5"/>
    <w:next w:val="Style_4"/>
    <w:link w:val="Style_3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header"/>
    <w:basedOn w:val="Style_4"/>
    <w:link w:val="Style_37_ch"/>
    <w:pPr>
      <w:widowControl w:val="1"/>
      <w:tabs>
        <w:tab w:leader="none" w:pos="4677" w:val="center"/>
        <w:tab w:leader="none" w:pos="9355" w:val="right"/>
      </w:tabs>
      <w:ind/>
    </w:pPr>
  </w:style>
  <w:style w:styleId="Style_37_ch" w:type="character">
    <w:name w:val="header"/>
    <w:basedOn w:val="Style_4_ch"/>
    <w:link w:val="Style_37"/>
  </w:style>
  <w:style w:styleId="Style_38" w:type="paragraph">
    <w:name w:val="Subtitle"/>
    <w:next w:val="Style_4"/>
    <w:link w:val="Style_3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2" w:type="paragraph">
    <w:name w:val="Title"/>
    <w:basedOn w:val="Style_4"/>
    <w:link w:val="Style_32_ch"/>
    <w:uiPriority w:val="10"/>
    <w:qFormat/>
    <w:pPr>
      <w:widowControl w:val="0"/>
      <w:ind w:right="154"/>
      <w:jc w:val="center"/>
    </w:pPr>
    <w:rPr>
      <w:color w:val="000000"/>
      <w:spacing w:val="-20"/>
      <w:sz w:val="32"/>
    </w:rPr>
  </w:style>
  <w:style w:styleId="Style_32_ch" w:type="character">
    <w:name w:val="Title"/>
    <w:basedOn w:val="Style_4_ch"/>
    <w:link w:val="Style_32"/>
    <w:rPr>
      <w:color w:val="000000"/>
      <w:spacing w:val="-20"/>
      <w:sz w:val="32"/>
    </w:rPr>
  </w:style>
  <w:style w:styleId="Style_39" w:type="paragraph">
    <w:name w:val="heading 4"/>
    <w:next w:val="Style_4"/>
    <w:link w:val="Style_3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heading 2"/>
    <w:basedOn w:val="Style_4"/>
    <w:next w:val="Style_4"/>
    <w:link w:val="Style_40_ch"/>
    <w:uiPriority w:val="9"/>
    <w:qFormat/>
    <w:pPr>
      <w:keepNext w:val="1"/>
      <w:widowControl w:val="1"/>
      <w:spacing w:after="60" w:before="240"/>
      <w:ind/>
      <w:outlineLvl w:val="1"/>
    </w:pPr>
    <w:rPr>
      <w:rFonts w:ascii="Calibri Light" w:hAnsi="Calibri Light"/>
      <w:b w:val="1"/>
      <w:i w:val="1"/>
      <w:sz w:val="28"/>
    </w:rPr>
  </w:style>
  <w:style w:styleId="Style_40_ch" w:type="character">
    <w:name w:val="heading 2"/>
    <w:basedOn w:val="Style_4_ch"/>
    <w:link w:val="Style_40"/>
    <w:rPr>
      <w:rFonts w:ascii="Calibri Light" w:hAnsi="Calibri Light"/>
      <w:b w:val="1"/>
      <w:i w:val="1"/>
      <w:sz w:val="28"/>
    </w:rPr>
  </w:style>
  <w:style w:styleId="Style_8" w:type="paragraph">
    <w:name w:val="annotation text"/>
    <w:basedOn w:val="Style_4"/>
    <w:link w:val="Style_8_ch"/>
    <w:rPr>
      <w:sz w:val="20"/>
    </w:rPr>
  </w:style>
  <w:style w:styleId="Style_8_ch" w:type="character">
    <w:name w:val="annotation text"/>
    <w:basedOn w:val="Style_4_ch"/>
    <w:link w:val="Style_8"/>
    <w:rPr>
      <w:sz w:val="20"/>
    </w:rPr>
  </w:style>
  <w:style w:styleId="Style_41" w:type="table">
    <w:name w:val="Сетка таблицы1"/>
    <w:basedOn w:val="Style_1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2" w:type="table">
    <w:name w:val="Table Grid"/>
    <w:basedOn w:val="Style_1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2026-07-09T17:41:42Z</dcterms:created>
  <dcterms:modified xsi:type="dcterms:W3CDTF">2026-07-14T12:37:58Z</dcterms:modified>
</cp:coreProperties>
</file>